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宋体" w:hAnsi="宋体" w:eastAsia="方正小标宋简体"/>
          <w:sz w:val="44"/>
        </w:rPr>
      </w:pPr>
      <w:r>
        <w:rPr>
          <w:rFonts w:hint="eastAsia" w:ascii="宋体" w:hAnsi="宋体" w:eastAsia="方正小标宋简体"/>
          <w:sz w:val="44"/>
        </w:rPr>
        <w:t>中华人民共和国应急管理部</w:t>
      </w:r>
    </w:p>
    <w:p>
      <w:pPr>
        <w:overflowPunct w:val="0"/>
        <w:spacing w:line="560" w:lineRule="exact"/>
        <w:jc w:val="center"/>
        <w:rPr>
          <w:rFonts w:ascii="宋体" w:hAnsi="宋体" w:eastAsia="方正小标宋简体"/>
          <w:sz w:val="44"/>
        </w:rPr>
      </w:pPr>
      <w:r>
        <w:rPr>
          <w:rFonts w:hint="eastAsia" w:ascii="宋体" w:hAnsi="宋体" w:eastAsia="方正小标宋简体"/>
          <w:sz w:val="44"/>
        </w:rPr>
        <w:t>公   告</w:t>
      </w:r>
    </w:p>
    <w:p>
      <w:pPr>
        <w:overflowPunct w:val="0"/>
        <w:spacing w:line="540" w:lineRule="exact"/>
        <w:jc w:val="center"/>
        <w:rPr>
          <w:rFonts w:ascii="宋体" w:hAnsi="宋体" w:eastAsia="方正小标宋简体"/>
          <w:sz w:val="44"/>
        </w:rPr>
      </w:pPr>
    </w:p>
    <w:p>
      <w:pPr>
        <w:overflowPunct w:val="0"/>
        <w:spacing w:line="540" w:lineRule="exact"/>
        <w:jc w:val="center"/>
        <w:rPr>
          <w:rFonts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  第4号</w:t>
      </w:r>
    </w:p>
    <w:p>
      <w:pPr>
        <w:overflowPunct w:val="0"/>
        <w:spacing w:line="540" w:lineRule="exact"/>
        <w:rPr>
          <w:rFonts w:ascii="宋体" w:hAnsi="宋体" w:eastAsia="仿宋_GB2312"/>
          <w:sz w:val="32"/>
        </w:rPr>
      </w:pPr>
    </w:p>
    <w:p>
      <w:pPr>
        <w:overflowPunct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按照《应急管理部关于印发企业安全生产标准化建设定级办法的通知》（应急〔2021〕83号）规定，经过企业自评、申请、评审、公示，确定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宝钢湛江钢铁有限公司冷轧厂（轧钢）</w:t>
      </w:r>
      <w:r>
        <w:rPr>
          <w:rFonts w:hint="eastAsia" w:ascii="仿宋_GB2312" w:hAnsi="仿宋_GB2312" w:eastAsia="仿宋_GB2312" w:cs="仿宋_GB2312"/>
          <w:sz w:val="32"/>
        </w:rPr>
        <w:t>等74家企业为2021年度工贸行业安全生产标准化一级企业，现予以公告，自公告</w:t>
      </w:r>
      <w:r>
        <w:rPr>
          <w:rFonts w:ascii="仿宋_GB2312" w:hAnsi="仿宋_GB2312" w:eastAsia="仿宋_GB2312" w:cs="仿宋_GB2312"/>
          <w:sz w:val="32"/>
        </w:rPr>
        <w:t>发布</w:t>
      </w:r>
      <w:r>
        <w:rPr>
          <w:rFonts w:hint="eastAsia" w:ascii="仿宋_GB2312" w:hAnsi="仿宋_GB2312" w:eastAsia="仿宋_GB2312" w:cs="仿宋_GB2312"/>
          <w:sz w:val="32"/>
        </w:rPr>
        <w:t>之日起3年</w:t>
      </w:r>
      <w:r>
        <w:rPr>
          <w:rFonts w:ascii="仿宋_GB2312" w:hAnsi="仿宋_GB2312" w:eastAsia="仿宋_GB2312" w:cs="仿宋_GB2312"/>
          <w:sz w:val="32"/>
        </w:rPr>
        <w:t>内</w:t>
      </w:r>
      <w:r>
        <w:rPr>
          <w:rFonts w:hint="eastAsia" w:ascii="仿宋_GB2312" w:hAnsi="仿宋_GB2312" w:eastAsia="仿宋_GB2312" w:cs="仿宋_GB2312"/>
          <w:sz w:val="32"/>
        </w:rPr>
        <w:t>有效。</w:t>
      </w:r>
    </w:p>
    <w:p>
      <w:pPr>
        <w:overflowPunct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74家企业在有效期内享受以下8项激励措施：一是以执法抽查为主，减少执法检查频次；二是原则上不纳入因安全生产政策性原因实施的区域限产、停产范围；三是原则上优先进行停产后的复产验收；四是符合工伤保险费率下浮条件的，按规定下浮工伤保险费率；五是企业的安全生产责任保险，按有关政策规定给予支持；六是符合条件的，优先提供金融信贷服务；七是企业申报国家和地方质量奖励、优秀品牌等资格和荣誉的，予以优先支持或推荐；八是优先推荐符合条件的企业参加所属地区、行业及领域的先进单位（集体）、安全文化示范企业等评选。</w:t>
      </w:r>
    </w:p>
    <w:p>
      <w:pPr>
        <w:overflowPunct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p>
      <w:pPr>
        <w:overflowPunct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附件：2021年度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工贸行业安全生产标准化一级企业名单</w:t>
      </w:r>
    </w:p>
    <w:p>
      <w:pPr>
        <w:overflowPunct w:val="0"/>
        <w:spacing w:line="540" w:lineRule="exact"/>
        <w:ind w:right="1642" w:rightChars="782" w:firstLine="640" w:firstLineChars="200"/>
        <w:jc w:val="right"/>
        <w:rPr>
          <w:rFonts w:ascii="仿宋_GB2312" w:hAnsi="仿宋_GB2312" w:eastAsia="仿宋_GB2312" w:cs="仿宋_GB2312"/>
          <w:sz w:val="32"/>
        </w:rPr>
      </w:pPr>
    </w:p>
    <w:p>
      <w:pPr>
        <w:overflowPunct w:val="0"/>
        <w:spacing w:line="540" w:lineRule="exact"/>
        <w:ind w:right="1642" w:rightChars="782" w:firstLine="640" w:firstLineChars="20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应急管理部</w:t>
      </w:r>
    </w:p>
    <w:p>
      <w:pPr>
        <w:wordWrap w:val="0"/>
        <w:overflowPunct w:val="0"/>
        <w:spacing w:line="540" w:lineRule="exact"/>
        <w:ind w:right="1218" w:rightChars="580" w:firstLine="640" w:firstLineChars="20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2022年3月18日</w:t>
      </w:r>
    </w:p>
    <w:p>
      <w:pPr>
        <w:overflowPunct w:val="0"/>
        <w:spacing w:line="560" w:lineRule="exac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宋体" w:hAnsi="宋体" w:eastAsia="方正小标宋简体" w:cs="方正小标宋简体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宋体" w:hAnsi="宋体" w:eastAsia="方正小标宋简体" w:cs="方正小标宋简体"/>
          <w:sz w:val="44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32"/>
        </w:rPr>
        <w:t>2021年度工贸行业安全生产标准化</w:t>
      </w:r>
    </w:p>
    <w:p>
      <w:pPr>
        <w:overflowPunct w:val="0"/>
        <w:spacing w:line="560" w:lineRule="exact"/>
        <w:jc w:val="center"/>
        <w:rPr>
          <w:rFonts w:ascii="宋体" w:hAnsi="宋体" w:eastAsia="方正小标宋简体" w:cs="方正小标宋简体"/>
          <w:sz w:val="44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32"/>
        </w:rPr>
        <w:t>一级企业名单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/>
          <w:sz w:val="32"/>
          <w:szCs w:val="32"/>
        </w:rPr>
      </w:pP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一、冶金行业（15家）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1.宝钢湛江钢铁有限公司冷轧厂（轧钢）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</w:t>
      </w:r>
      <w:r>
        <w:rPr>
          <w:rFonts w:hint="eastAsia" w:ascii="宋体" w:hAnsi="宋体" w:eastAsia="仿宋_GB2312" w:cs="仿宋_GB2312"/>
          <w:spacing w:val="-2"/>
          <w:sz w:val="32"/>
          <w:szCs w:val="32"/>
        </w:rPr>
        <w:t>宝山钢铁股份有限公司钢管条钢事业部电炉厂（炼钢）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3.宝山钢铁股份有限公司硅钢事业部（硅钢部）（轧钢）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4.宝山钢铁股份有限公司冷轧厂（轧钢）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5.</w:t>
      </w:r>
      <w:r>
        <w:rPr>
          <w:rFonts w:hint="eastAsia" w:ascii="宋体" w:hAnsi="宋体" w:eastAsia="仿宋_GB2312" w:cs="仿宋_GB2312"/>
          <w:spacing w:val="-4"/>
          <w:sz w:val="32"/>
          <w:szCs w:val="32"/>
        </w:rPr>
        <w:t>宝山钢铁股份有限公司炼铁厂（炼铁、焦化、烧结球团）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6.宝山钢铁股份有限公司热轧厂（轧钢）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7.北京首钢冷轧薄板有限公司（轧钢）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8.上海梅山钢铁股份有限公司冷轧厂（轧钢）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9.上海梅山钢铁股份有限公司炼钢厂（炼钢）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0.</w:t>
      </w:r>
      <w:r>
        <w:rPr>
          <w:rFonts w:hint="eastAsia" w:ascii="宋体" w:hAnsi="宋体" w:eastAsia="仿宋_GB2312" w:cs="仿宋_GB2312"/>
          <w:spacing w:val="-20"/>
          <w:sz w:val="32"/>
          <w:szCs w:val="32"/>
        </w:rPr>
        <w:t>上海梅山钢铁股份有限公司炼铁厂（炼铁、焦化、烧结球团）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1.上海梅山钢铁股份有限公司能源环保部（煤气）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12.首钢股份公司迁安钢铁公司炼铁作业部（炼铁）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13.首钢股份公司迁安钢铁公司能源部（煤气）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14.首钢京唐钢铁联合有限责任公司热轧作业部（轧钢）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15.首钢智新迁安电磁材料有限公司（轧钢）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二、有色行业（10家）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1.奥科宁克（昆山）铝业有限公司（有色金属压力加工）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2.包头铝业有限公司（电解铝）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</w:t>
      </w:r>
      <w:r>
        <w:rPr>
          <w:rFonts w:ascii="宋体" w:hAnsi="宋体" w:eastAsia="仿宋_GB2312" w:cs="仿宋_GB2312"/>
          <w:sz w:val="32"/>
          <w:szCs w:val="32"/>
        </w:rPr>
        <w:t>.</w:t>
      </w:r>
      <w:r>
        <w:rPr>
          <w:rFonts w:hint="eastAsia" w:ascii="宋体" w:hAnsi="宋体" w:eastAsia="仿宋_GB2312" w:cs="仿宋_GB2312"/>
          <w:sz w:val="32"/>
          <w:szCs w:val="32"/>
        </w:rPr>
        <w:t>江苏亚太航空科技有限公司（有色金属压力加工）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.西南铝业（集团）有限责任公司（有色金属压力加工）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5</w:t>
      </w:r>
      <w:r>
        <w:rPr>
          <w:rFonts w:hint="eastAsia" w:ascii="宋体" w:hAnsi="宋体" w:eastAsia="仿宋_GB2312" w:cs="仿宋_GB2312"/>
          <w:sz w:val="32"/>
          <w:szCs w:val="32"/>
        </w:rPr>
        <w:t>.云南浩鑫铝箔有限公司（有色金属压力加工）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6</w:t>
      </w:r>
      <w:r>
        <w:rPr>
          <w:rFonts w:hint="eastAsia" w:ascii="宋体" w:hAnsi="宋体" w:eastAsia="仿宋_GB2312" w:cs="仿宋_GB2312"/>
          <w:sz w:val="32"/>
          <w:szCs w:val="32"/>
        </w:rPr>
        <w:t>.</w:t>
      </w:r>
      <w:r>
        <w:rPr>
          <w:rFonts w:hint="eastAsia" w:ascii="宋体" w:hAnsi="宋体" w:eastAsia="仿宋_GB2312" w:cs="仿宋_GB2312"/>
          <w:spacing w:val="-14"/>
          <w:sz w:val="32"/>
          <w:szCs w:val="32"/>
        </w:rPr>
        <w:t>云南铜业股份有限公司西南铜业分公司（有色重金属冶炼）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7</w:t>
      </w:r>
      <w:r>
        <w:rPr>
          <w:rFonts w:hint="eastAsia" w:ascii="宋体" w:hAnsi="宋体" w:eastAsia="仿宋_GB2312" w:cs="仿宋_GB2312"/>
          <w:sz w:val="32"/>
          <w:szCs w:val="32"/>
        </w:rPr>
        <w:t>.云南云铝涌鑫铝业有限公司（电解铝）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8</w:t>
      </w:r>
      <w:r>
        <w:rPr>
          <w:rFonts w:hint="eastAsia" w:ascii="宋体" w:hAnsi="宋体" w:eastAsia="仿宋_GB2312" w:cs="仿宋_GB2312"/>
          <w:sz w:val="32"/>
          <w:szCs w:val="32"/>
        </w:rPr>
        <w:t>.中国铝业股份有限公司青海分公司（电解铝）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9</w:t>
      </w:r>
      <w:r>
        <w:rPr>
          <w:rFonts w:hint="eastAsia" w:ascii="宋体" w:hAnsi="宋体" w:eastAsia="仿宋_GB2312" w:cs="仿宋_GB2312"/>
          <w:sz w:val="32"/>
          <w:szCs w:val="32"/>
        </w:rPr>
        <w:t>.中铝瑞闽股份有限公司（有色金属压力加工）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10</w:t>
      </w:r>
      <w:r>
        <w:rPr>
          <w:rFonts w:hint="eastAsia" w:ascii="宋体" w:hAnsi="宋体" w:eastAsia="仿宋_GB2312" w:cs="仿宋_GB2312"/>
          <w:sz w:val="32"/>
          <w:szCs w:val="32"/>
        </w:rPr>
        <w:t>.中铝山西新材料有限公司（电解铝、氧化铝）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三、建材行业（17家）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1.安丘山水水泥有限公司（水泥）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2.蚌埠中联水泥有限公司（水泥）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3.保山昆钢嘉华水泥建材有限公司（水泥）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4.贵州黔桂金州建材有限公司（水泥）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5.杭州山亚南方水泥有限公司（水泥）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6.华润水泥（南宁）有限公司（水泥）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7.华润水泥（田阳）有限公司（水泥）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8.华新水泥（秭归）有限公司（水泥）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9.冀东海德堡（扶风）水泥有限公司（水泥）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10.江西于都南方万年青水泥有限公司（水泥）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11.喀喇沁草原水泥有限责任公司（水泥）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12.内蒙古亿利冀东水泥有限责任公司（水泥）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13.泉头集团枣庄金桥旋窑水泥有限公司（水泥）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14.泰安中联水泥有限公司（水泥）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15.天瑞新登郑州水泥有限公司（水泥）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16.新安中联万基水泥有限公司（水泥）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17.昭通昆钢嘉华水泥建材有限公司（水泥）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四、机械行业（14家）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1.安徽合力股份有限公司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2.东风商用车有限公司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3.格力电器（石家庄）有限公司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4.杭州松下马达有限公司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5.三星（中国）半导体有限公司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6.上海电气电站设备有限公司上海汽轮机厂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7.上海汽车变速器有限公司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8.上海三菱电梯有限公司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9.上汽大众汽车有限公司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10.上汽通用五菱汽车股份有限公司青岛分公司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11.一汽-大众汽车有限公司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12.长安马自达汽车有限公司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13.中车青岛四方机车车辆股份有限公司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14.珠海格力电器股份有限公司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五、轻工行业（18家）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1.包头伊利乳业有限责任公司（乳制品生产）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.东阿阿胶股份有限公司（食品生产）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.光明乳业股份有限公司华东中心工厂（乳制品生产）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4</w:t>
      </w:r>
      <w:r>
        <w:rPr>
          <w:rFonts w:hint="eastAsia" w:ascii="宋体" w:hAnsi="宋体" w:eastAsia="仿宋_GB2312" w:cs="仿宋_GB2312"/>
          <w:sz w:val="32"/>
          <w:szCs w:val="32"/>
        </w:rPr>
        <w:t>.广州造纸集团有限公司（造纸企业）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5</w:t>
      </w:r>
      <w:r>
        <w:rPr>
          <w:rFonts w:hint="eastAsia" w:ascii="宋体" w:hAnsi="宋体" w:eastAsia="仿宋_GB2312" w:cs="仿宋_GB2312"/>
          <w:sz w:val="32"/>
          <w:szCs w:val="32"/>
        </w:rPr>
        <w:t>.黑龙江省光明松鹤乳品有限责任公司（乳制品生产）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6</w:t>
      </w:r>
      <w:r>
        <w:rPr>
          <w:rFonts w:hint="eastAsia" w:ascii="宋体" w:hAnsi="宋体" w:eastAsia="仿宋_GB2312" w:cs="仿宋_GB2312"/>
          <w:sz w:val="32"/>
          <w:szCs w:val="32"/>
        </w:rPr>
        <w:t>.黑龙江伊利乳业有限责任公司（乳制品生产）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7</w:t>
      </w:r>
      <w:r>
        <w:rPr>
          <w:rFonts w:hint="eastAsia" w:ascii="宋体" w:hAnsi="宋体" w:eastAsia="仿宋_GB2312" w:cs="仿宋_GB2312"/>
          <w:sz w:val="32"/>
          <w:szCs w:val="32"/>
        </w:rPr>
        <w:t>.济南伊利乳业有限责任公司（乳制品生产）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8</w:t>
      </w:r>
      <w:r>
        <w:rPr>
          <w:rFonts w:hint="eastAsia" w:ascii="宋体" w:hAnsi="宋体" w:eastAsia="仿宋_GB2312" w:cs="仿宋_GB2312"/>
          <w:sz w:val="32"/>
          <w:szCs w:val="32"/>
        </w:rPr>
        <w:t>.济源伊利乳业有限责任公司（乳制品生产）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9</w:t>
      </w:r>
      <w:r>
        <w:rPr>
          <w:rFonts w:hint="eastAsia" w:ascii="宋体" w:hAnsi="宋体" w:eastAsia="仿宋_GB2312" w:cs="仿宋_GB2312"/>
          <w:sz w:val="32"/>
          <w:szCs w:val="32"/>
        </w:rPr>
        <w:t>.泸州老窖股份有限公司（白酒生产）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0</w:t>
      </w:r>
      <w:r>
        <w:rPr>
          <w:rFonts w:hint="eastAsia" w:ascii="宋体" w:hAnsi="宋体" w:eastAsia="仿宋_GB2312" w:cs="仿宋_GB2312"/>
          <w:sz w:val="32"/>
          <w:szCs w:val="32"/>
        </w:rPr>
        <w:t>.蒙牛乳业（宝鸡）有限公司（乳制品生产）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.蒙牛乳业（马鞍山）有限公司（乳制品生产）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.蒙牛乳业（清远）有限公司（乳制品生产）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3</w:t>
      </w:r>
      <w:r>
        <w:rPr>
          <w:rFonts w:hint="eastAsia" w:ascii="宋体" w:hAnsi="宋体" w:eastAsia="仿宋_GB2312" w:cs="仿宋_GB2312"/>
          <w:sz w:val="32"/>
          <w:szCs w:val="32"/>
        </w:rPr>
        <w:t>.蒙牛乳业（太原）有限公司（乳制品生产）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14.蒙牛乳业泰安有限责任公司（乳制品生产）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5</w:t>
      </w:r>
      <w:r>
        <w:rPr>
          <w:rFonts w:hint="eastAsia" w:ascii="宋体" w:hAnsi="宋体" w:eastAsia="仿宋_GB2312" w:cs="仿宋_GB2312"/>
          <w:sz w:val="32"/>
          <w:szCs w:val="32"/>
        </w:rPr>
        <w:t>.蒙牛特仑苏（张家口）乳业有限公司（乳制品生产）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ascii="宋体" w:hAnsi="宋体" w:eastAsia="仿宋_GB2312" w:cs="仿宋_GB2312"/>
          <w:sz w:val="32"/>
          <w:szCs w:val="32"/>
        </w:rPr>
        <w:t>16</w:t>
      </w:r>
      <w:r>
        <w:rPr>
          <w:rFonts w:hint="eastAsia" w:ascii="宋体" w:hAnsi="宋体" w:eastAsia="仿宋_GB2312" w:cs="仿宋_GB2312"/>
          <w:sz w:val="32"/>
          <w:szCs w:val="32"/>
        </w:rPr>
        <w:t>.西安伊利泰普克饮品有限公司（乳制品生产）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7</w:t>
      </w:r>
      <w:r>
        <w:rPr>
          <w:rFonts w:hint="eastAsia" w:ascii="宋体" w:hAnsi="宋体" w:eastAsia="仿宋_GB2312" w:cs="仿宋_GB2312"/>
          <w:sz w:val="32"/>
          <w:szCs w:val="32"/>
        </w:rPr>
        <w:t>.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</w:rPr>
        <w:t>浙江一鸣食品股份有限公司（食品生产）</w:t>
      </w:r>
    </w:p>
    <w:p>
      <w:pPr>
        <w:tabs>
          <w:tab w:val="left" w:pos="851"/>
        </w:tabs>
        <w:overflowPunct w:val="0"/>
        <w:spacing w:line="560" w:lineRule="exact"/>
        <w:ind w:firstLine="640" w:firstLineChars="200"/>
        <w:rPr>
          <w:rFonts w:ascii="宋体" w:hAnsi="宋体" w:eastAsia="方正小标宋简体" w:cs="方正小标宋简体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1</w:t>
      </w:r>
      <w:r>
        <w:rPr>
          <w:rFonts w:ascii="宋体" w:hAnsi="宋体" w:eastAsia="仿宋_GB2312" w:cs="仿宋_GB2312"/>
          <w:sz w:val="32"/>
          <w:szCs w:val="32"/>
        </w:rPr>
        <w:t>8</w:t>
      </w:r>
      <w:r>
        <w:rPr>
          <w:rFonts w:hint="eastAsia" w:ascii="宋体" w:hAnsi="宋体" w:eastAsia="仿宋_GB2312" w:cs="仿宋_GB2312"/>
          <w:sz w:val="32"/>
          <w:szCs w:val="32"/>
        </w:rPr>
        <w:t>.中粮东海粮油工业（张家港）有限公司（食品生产）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EF58AE"/>
    <w:rsid w:val="F7DC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75.3333333333333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任学梅</cp:lastModifiedBy>
  <dcterms:modified xsi:type="dcterms:W3CDTF">2022-03-23T09:55:43Z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D31481F62A8740779C85C0E1165A7F6C</vt:lpwstr>
  </property>
</Properties>
</file>